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78FE7" w14:textId="77777777" w:rsidR="00F50FB7" w:rsidRDefault="00000000">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山东财经大学东方学院工商管理学院</w:t>
      </w:r>
    </w:p>
    <w:p w14:paraId="484CB52C" w14:textId="77777777" w:rsidR="00F50FB7" w:rsidRDefault="00000000">
      <w:pPr>
        <w:spacing w:line="560" w:lineRule="exact"/>
        <w:jc w:val="center"/>
        <w:rPr>
          <w:rFonts w:ascii="方正小标宋简体" w:eastAsia="方正小标宋简体"/>
          <w:sz w:val="44"/>
          <w:szCs w:val="44"/>
        </w:rPr>
      </w:pPr>
      <w:r>
        <w:rPr>
          <w:rFonts w:ascii="方正小标宋简体" w:eastAsia="方正小标宋简体" w:hint="eastAsia"/>
          <w:sz w:val="44"/>
          <w:szCs w:val="44"/>
        </w:rPr>
        <w:t>本专科学生转专业工作实施方案</w:t>
      </w:r>
    </w:p>
    <w:p w14:paraId="69A1D7F8" w14:textId="77777777" w:rsidR="00F50FB7" w:rsidRDefault="00F50FB7"/>
    <w:p w14:paraId="7927A6D4" w14:textId="77777777" w:rsidR="00F50FB7" w:rsidRDefault="00000000">
      <w:pPr>
        <w:ind w:firstLineChars="200" w:firstLine="640"/>
        <w:rPr>
          <w:rFonts w:ascii="黑体" w:eastAsia="黑体" w:hAnsi="黑体" w:hint="eastAsia"/>
          <w:sz w:val="32"/>
          <w:szCs w:val="32"/>
        </w:rPr>
      </w:pPr>
      <w:r>
        <w:rPr>
          <w:rFonts w:ascii="黑体" w:eastAsia="黑体" w:hAnsi="黑体" w:hint="eastAsia"/>
          <w:sz w:val="32"/>
          <w:szCs w:val="32"/>
        </w:rPr>
        <w:t>第一条 领导小组</w:t>
      </w:r>
    </w:p>
    <w:p w14:paraId="178344D9"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学院成立以李秀荣为组长，高爱霞、梁承磊为副组长的领导小组，全面负责转专业工作部署。同时，成立以高爱霞为组长的工作小组，工作组成员为白立洋、刘浩、刘慧、高贤敏、毕雅男，配合完成转专业的各项工作。</w:t>
      </w:r>
    </w:p>
    <w:p w14:paraId="227ECDDE" w14:textId="77777777" w:rsidR="00F50FB7" w:rsidRDefault="00000000">
      <w:pPr>
        <w:ind w:firstLineChars="200" w:firstLine="640"/>
        <w:rPr>
          <w:rFonts w:ascii="黑体" w:eastAsia="黑体" w:hAnsi="黑体" w:hint="eastAsia"/>
          <w:sz w:val="32"/>
          <w:szCs w:val="32"/>
        </w:rPr>
      </w:pPr>
      <w:r>
        <w:rPr>
          <w:rFonts w:ascii="黑体" w:eastAsia="黑体" w:hAnsi="黑体" w:hint="eastAsia"/>
          <w:sz w:val="32"/>
          <w:szCs w:val="32"/>
        </w:rPr>
        <w:t>第二条 接收专业与接收计划</w:t>
      </w:r>
    </w:p>
    <w:p w14:paraId="686215CF"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根据学院专业建设需要、各专业现有学生人数及教学资源条件确定接收专业和计划为：</w:t>
      </w:r>
    </w:p>
    <w:tbl>
      <w:tblPr>
        <w:tblW w:w="7228" w:type="dxa"/>
        <w:jc w:val="center"/>
        <w:tblBorders>
          <w:top w:val="single" w:sz="12" w:space="0" w:color="auto"/>
          <w:bottom w:val="single" w:sz="12" w:space="0" w:color="auto"/>
          <w:insideH w:val="single" w:sz="6" w:space="0" w:color="auto"/>
          <w:insideV w:val="single" w:sz="6" w:space="0" w:color="auto"/>
        </w:tblBorders>
        <w:tblLayout w:type="fixed"/>
        <w:tblLook w:val="04A0" w:firstRow="1" w:lastRow="0" w:firstColumn="1" w:lastColumn="0" w:noHBand="0" w:noVBand="1"/>
      </w:tblPr>
      <w:tblGrid>
        <w:gridCol w:w="1695"/>
        <w:gridCol w:w="1055"/>
        <w:gridCol w:w="1250"/>
        <w:gridCol w:w="1204"/>
        <w:gridCol w:w="2024"/>
      </w:tblGrid>
      <w:tr w:rsidR="00F50FB7" w14:paraId="483B9FAB" w14:textId="77777777">
        <w:trPr>
          <w:trHeight w:val="347"/>
          <w:jc w:val="center"/>
        </w:trPr>
        <w:tc>
          <w:tcPr>
            <w:tcW w:w="1695" w:type="dxa"/>
            <w:tcBorders>
              <w:top w:val="single" w:sz="4" w:space="0" w:color="auto"/>
              <w:left w:val="single" w:sz="4" w:space="0" w:color="auto"/>
              <w:bottom w:val="single" w:sz="6" w:space="0" w:color="auto"/>
              <w:right w:val="single" w:sz="4" w:space="0" w:color="auto"/>
            </w:tcBorders>
            <w:vAlign w:val="center"/>
          </w:tcPr>
          <w:p w14:paraId="1DE329AA"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专业名称</w:t>
            </w:r>
          </w:p>
        </w:tc>
        <w:tc>
          <w:tcPr>
            <w:tcW w:w="1055" w:type="dxa"/>
            <w:tcBorders>
              <w:top w:val="single" w:sz="4" w:space="0" w:color="auto"/>
              <w:left w:val="single" w:sz="6" w:space="0" w:color="auto"/>
              <w:bottom w:val="single" w:sz="6" w:space="0" w:color="auto"/>
              <w:right w:val="single" w:sz="6" w:space="0" w:color="auto"/>
            </w:tcBorders>
            <w:vAlign w:val="center"/>
          </w:tcPr>
          <w:p w14:paraId="17E2562F"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学生数</w:t>
            </w:r>
          </w:p>
        </w:tc>
        <w:tc>
          <w:tcPr>
            <w:tcW w:w="1250" w:type="dxa"/>
            <w:tcBorders>
              <w:top w:val="single" w:sz="4" w:space="0" w:color="auto"/>
              <w:left w:val="single" w:sz="6" w:space="0" w:color="auto"/>
              <w:bottom w:val="single" w:sz="6" w:space="0" w:color="auto"/>
              <w:right w:val="single" w:sz="6" w:space="0" w:color="auto"/>
            </w:tcBorders>
            <w:vAlign w:val="center"/>
          </w:tcPr>
          <w:p w14:paraId="7A7C0B2B"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层次</w:t>
            </w:r>
          </w:p>
        </w:tc>
        <w:tc>
          <w:tcPr>
            <w:tcW w:w="1204" w:type="dxa"/>
            <w:tcBorders>
              <w:top w:val="single" w:sz="4" w:space="0" w:color="auto"/>
              <w:left w:val="single" w:sz="6" w:space="0" w:color="auto"/>
              <w:bottom w:val="single" w:sz="6" w:space="0" w:color="auto"/>
              <w:right w:val="single" w:sz="6" w:space="0" w:color="auto"/>
            </w:tcBorders>
            <w:vAlign w:val="center"/>
          </w:tcPr>
          <w:p w14:paraId="605A31AE"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学制</w:t>
            </w:r>
          </w:p>
        </w:tc>
        <w:tc>
          <w:tcPr>
            <w:tcW w:w="2024" w:type="dxa"/>
            <w:tcBorders>
              <w:top w:val="single" w:sz="4" w:space="0" w:color="auto"/>
              <w:left w:val="single" w:sz="6" w:space="0" w:color="auto"/>
              <w:bottom w:val="single" w:sz="6" w:space="0" w:color="auto"/>
              <w:right w:val="single" w:sz="4" w:space="0" w:color="auto"/>
            </w:tcBorders>
            <w:vAlign w:val="center"/>
          </w:tcPr>
          <w:p w14:paraId="0F0EF827" w14:textId="77777777" w:rsidR="00F50FB7" w:rsidRDefault="00000000">
            <w:pPr>
              <w:autoSpaceDE w:val="0"/>
              <w:spacing w:line="400" w:lineRule="exact"/>
              <w:jc w:val="center"/>
              <w:rPr>
                <w:rFonts w:ascii="仿宋_GB2312" w:eastAsia="仿宋_GB2312" w:hAnsi="Tahoma"/>
                <w:sz w:val="32"/>
                <w:szCs w:val="32"/>
              </w:rPr>
            </w:pPr>
            <w:r>
              <w:rPr>
                <w:rFonts w:ascii="仿宋_GB2312" w:eastAsia="仿宋_GB2312" w:hint="eastAsia"/>
                <w:sz w:val="32"/>
                <w:szCs w:val="32"/>
              </w:rPr>
              <w:t>可接收</w:t>
            </w:r>
          </w:p>
          <w:p w14:paraId="24855753"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学生数</w:t>
            </w:r>
          </w:p>
        </w:tc>
      </w:tr>
      <w:tr w:rsidR="00F50FB7" w14:paraId="423F702E" w14:textId="77777777">
        <w:trPr>
          <w:trHeight w:val="496"/>
          <w:jc w:val="center"/>
        </w:trPr>
        <w:tc>
          <w:tcPr>
            <w:tcW w:w="1695" w:type="dxa"/>
            <w:tcBorders>
              <w:top w:val="single" w:sz="6" w:space="0" w:color="auto"/>
              <w:left w:val="single" w:sz="4" w:space="0" w:color="auto"/>
              <w:bottom w:val="single" w:sz="6" w:space="0" w:color="auto"/>
              <w:right w:val="single" w:sz="4" w:space="0" w:color="auto"/>
            </w:tcBorders>
            <w:vAlign w:val="center"/>
          </w:tcPr>
          <w:p w14:paraId="07BE0E18"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工商管理</w:t>
            </w:r>
          </w:p>
        </w:tc>
        <w:tc>
          <w:tcPr>
            <w:tcW w:w="1055" w:type="dxa"/>
            <w:tcBorders>
              <w:top w:val="single" w:sz="6" w:space="0" w:color="auto"/>
              <w:left w:val="single" w:sz="6" w:space="0" w:color="auto"/>
              <w:bottom w:val="single" w:sz="6" w:space="0" w:color="auto"/>
              <w:right w:val="single" w:sz="6" w:space="0" w:color="auto"/>
            </w:tcBorders>
            <w:noWrap/>
            <w:vAlign w:val="center"/>
          </w:tcPr>
          <w:p w14:paraId="08116CEE"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37</w:t>
            </w:r>
          </w:p>
        </w:tc>
        <w:tc>
          <w:tcPr>
            <w:tcW w:w="1250" w:type="dxa"/>
            <w:tcBorders>
              <w:top w:val="single" w:sz="6" w:space="0" w:color="auto"/>
              <w:left w:val="single" w:sz="6" w:space="0" w:color="auto"/>
              <w:bottom w:val="single" w:sz="6" w:space="0" w:color="auto"/>
              <w:right w:val="single" w:sz="6" w:space="0" w:color="auto"/>
            </w:tcBorders>
            <w:noWrap/>
            <w:vAlign w:val="center"/>
          </w:tcPr>
          <w:p w14:paraId="60C9C3E1"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本科</w:t>
            </w:r>
          </w:p>
        </w:tc>
        <w:tc>
          <w:tcPr>
            <w:tcW w:w="1204" w:type="dxa"/>
            <w:tcBorders>
              <w:top w:val="single" w:sz="6" w:space="0" w:color="auto"/>
              <w:left w:val="single" w:sz="6" w:space="0" w:color="auto"/>
              <w:bottom w:val="single" w:sz="6" w:space="0" w:color="auto"/>
              <w:right w:val="single" w:sz="6" w:space="0" w:color="auto"/>
            </w:tcBorders>
            <w:noWrap/>
            <w:vAlign w:val="center"/>
          </w:tcPr>
          <w:p w14:paraId="35B50A3D"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4</w:t>
            </w:r>
          </w:p>
        </w:tc>
        <w:tc>
          <w:tcPr>
            <w:tcW w:w="2024" w:type="dxa"/>
            <w:tcBorders>
              <w:top w:val="single" w:sz="6" w:space="0" w:color="auto"/>
              <w:left w:val="single" w:sz="6" w:space="0" w:color="auto"/>
              <w:bottom w:val="single" w:sz="6" w:space="0" w:color="auto"/>
              <w:right w:val="single" w:sz="4" w:space="0" w:color="auto"/>
            </w:tcBorders>
            <w:noWrap/>
            <w:vAlign w:val="center"/>
          </w:tcPr>
          <w:p w14:paraId="08DAC98F" w14:textId="77777777" w:rsidR="00F50FB7" w:rsidRDefault="00000000">
            <w:pPr>
              <w:autoSpaceDE w:val="0"/>
              <w:adjustRightInd w:val="0"/>
              <w:snapToGrid w:val="0"/>
              <w:spacing w:before="100" w:beforeAutospacing="1" w:after="200" w:line="400" w:lineRule="exact"/>
              <w:ind w:firstLineChars="100" w:firstLine="320"/>
              <w:jc w:val="center"/>
              <w:rPr>
                <w:rFonts w:ascii="仿宋_GB2312" w:eastAsia="仿宋_GB2312" w:hAnsi="Tahoma"/>
                <w:sz w:val="32"/>
                <w:szCs w:val="32"/>
              </w:rPr>
            </w:pPr>
            <w:r>
              <w:rPr>
                <w:rFonts w:ascii="仿宋_GB2312" w:eastAsia="仿宋_GB2312" w:hint="eastAsia"/>
                <w:sz w:val="32"/>
                <w:szCs w:val="32"/>
              </w:rPr>
              <w:t>4人</w:t>
            </w:r>
          </w:p>
        </w:tc>
      </w:tr>
      <w:tr w:rsidR="00F50FB7" w14:paraId="7CDDE6F5" w14:textId="77777777">
        <w:trPr>
          <w:trHeight w:val="225"/>
          <w:jc w:val="center"/>
        </w:trPr>
        <w:tc>
          <w:tcPr>
            <w:tcW w:w="1695" w:type="dxa"/>
            <w:tcBorders>
              <w:top w:val="single" w:sz="6" w:space="0" w:color="auto"/>
              <w:left w:val="single" w:sz="4" w:space="0" w:color="auto"/>
              <w:bottom w:val="single" w:sz="6" w:space="0" w:color="auto"/>
              <w:right w:val="single" w:sz="4" w:space="0" w:color="auto"/>
            </w:tcBorders>
            <w:vAlign w:val="center"/>
          </w:tcPr>
          <w:p w14:paraId="4F6E2BE8"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市场营销</w:t>
            </w:r>
          </w:p>
        </w:tc>
        <w:tc>
          <w:tcPr>
            <w:tcW w:w="1055" w:type="dxa"/>
            <w:tcBorders>
              <w:top w:val="single" w:sz="6" w:space="0" w:color="auto"/>
              <w:left w:val="single" w:sz="6" w:space="0" w:color="auto"/>
              <w:bottom w:val="single" w:sz="6" w:space="0" w:color="auto"/>
              <w:right w:val="single" w:sz="6" w:space="0" w:color="auto"/>
            </w:tcBorders>
            <w:noWrap/>
            <w:vAlign w:val="center"/>
          </w:tcPr>
          <w:p w14:paraId="3DD9F840"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37</w:t>
            </w:r>
          </w:p>
        </w:tc>
        <w:tc>
          <w:tcPr>
            <w:tcW w:w="1250" w:type="dxa"/>
            <w:tcBorders>
              <w:top w:val="single" w:sz="6" w:space="0" w:color="auto"/>
              <w:left w:val="single" w:sz="6" w:space="0" w:color="auto"/>
              <w:bottom w:val="single" w:sz="6" w:space="0" w:color="auto"/>
              <w:right w:val="single" w:sz="6" w:space="0" w:color="auto"/>
            </w:tcBorders>
            <w:noWrap/>
            <w:vAlign w:val="center"/>
          </w:tcPr>
          <w:p w14:paraId="66615BC2"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本科</w:t>
            </w:r>
          </w:p>
        </w:tc>
        <w:tc>
          <w:tcPr>
            <w:tcW w:w="1204" w:type="dxa"/>
            <w:tcBorders>
              <w:top w:val="single" w:sz="6" w:space="0" w:color="auto"/>
              <w:left w:val="single" w:sz="6" w:space="0" w:color="auto"/>
              <w:bottom w:val="single" w:sz="6" w:space="0" w:color="auto"/>
              <w:right w:val="single" w:sz="6" w:space="0" w:color="auto"/>
            </w:tcBorders>
            <w:noWrap/>
            <w:vAlign w:val="center"/>
          </w:tcPr>
          <w:p w14:paraId="1690CED4"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4</w:t>
            </w:r>
          </w:p>
        </w:tc>
        <w:tc>
          <w:tcPr>
            <w:tcW w:w="2024" w:type="dxa"/>
            <w:tcBorders>
              <w:top w:val="single" w:sz="6" w:space="0" w:color="auto"/>
              <w:left w:val="single" w:sz="6" w:space="0" w:color="auto"/>
              <w:bottom w:val="single" w:sz="6" w:space="0" w:color="auto"/>
              <w:right w:val="single" w:sz="4" w:space="0" w:color="auto"/>
            </w:tcBorders>
            <w:noWrap/>
            <w:vAlign w:val="center"/>
          </w:tcPr>
          <w:p w14:paraId="21DD841A" w14:textId="77777777" w:rsidR="00F50FB7" w:rsidRDefault="00000000">
            <w:pPr>
              <w:autoSpaceDE w:val="0"/>
              <w:adjustRightInd w:val="0"/>
              <w:snapToGrid w:val="0"/>
              <w:spacing w:before="100" w:beforeAutospacing="1" w:after="200" w:line="400" w:lineRule="exact"/>
              <w:ind w:firstLineChars="100" w:firstLine="320"/>
              <w:jc w:val="center"/>
              <w:rPr>
                <w:rFonts w:ascii="仿宋_GB2312" w:eastAsia="仿宋_GB2312" w:hAnsi="Tahoma"/>
                <w:sz w:val="32"/>
                <w:szCs w:val="32"/>
              </w:rPr>
            </w:pPr>
            <w:r>
              <w:rPr>
                <w:rFonts w:ascii="仿宋_GB2312" w:eastAsia="仿宋_GB2312" w:hint="eastAsia"/>
                <w:sz w:val="32"/>
                <w:szCs w:val="32"/>
              </w:rPr>
              <w:t>4人</w:t>
            </w:r>
          </w:p>
        </w:tc>
      </w:tr>
      <w:tr w:rsidR="00F50FB7" w14:paraId="7F342CFD" w14:textId="77777777">
        <w:trPr>
          <w:trHeight w:val="225"/>
          <w:jc w:val="center"/>
        </w:trPr>
        <w:tc>
          <w:tcPr>
            <w:tcW w:w="1695" w:type="dxa"/>
            <w:tcBorders>
              <w:top w:val="single" w:sz="6" w:space="0" w:color="auto"/>
              <w:left w:val="single" w:sz="4" w:space="0" w:color="auto"/>
              <w:bottom w:val="single" w:sz="6" w:space="0" w:color="auto"/>
              <w:right w:val="single" w:sz="4" w:space="0" w:color="auto"/>
            </w:tcBorders>
            <w:vAlign w:val="center"/>
          </w:tcPr>
          <w:p w14:paraId="16AC4198"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商务管理</w:t>
            </w:r>
          </w:p>
        </w:tc>
        <w:tc>
          <w:tcPr>
            <w:tcW w:w="1055" w:type="dxa"/>
            <w:tcBorders>
              <w:top w:val="single" w:sz="6" w:space="0" w:color="auto"/>
              <w:left w:val="single" w:sz="6" w:space="0" w:color="auto"/>
              <w:bottom w:val="single" w:sz="6" w:space="0" w:color="auto"/>
              <w:right w:val="single" w:sz="6" w:space="0" w:color="auto"/>
            </w:tcBorders>
            <w:noWrap/>
            <w:vAlign w:val="center"/>
          </w:tcPr>
          <w:p w14:paraId="06B94A74"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50</w:t>
            </w:r>
          </w:p>
        </w:tc>
        <w:tc>
          <w:tcPr>
            <w:tcW w:w="1250" w:type="dxa"/>
            <w:tcBorders>
              <w:top w:val="single" w:sz="6" w:space="0" w:color="auto"/>
              <w:left w:val="single" w:sz="6" w:space="0" w:color="auto"/>
              <w:bottom w:val="single" w:sz="6" w:space="0" w:color="auto"/>
              <w:right w:val="single" w:sz="6" w:space="0" w:color="auto"/>
            </w:tcBorders>
            <w:noWrap/>
            <w:vAlign w:val="center"/>
          </w:tcPr>
          <w:p w14:paraId="63E924BE"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专科</w:t>
            </w:r>
          </w:p>
        </w:tc>
        <w:tc>
          <w:tcPr>
            <w:tcW w:w="1204" w:type="dxa"/>
            <w:tcBorders>
              <w:top w:val="single" w:sz="6" w:space="0" w:color="auto"/>
              <w:left w:val="single" w:sz="6" w:space="0" w:color="auto"/>
              <w:bottom w:val="single" w:sz="6" w:space="0" w:color="auto"/>
              <w:right w:val="single" w:sz="6" w:space="0" w:color="auto"/>
            </w:tcBorders>
            <w:noWrap/>
            <w:vAlign w:val="center"/>
          </w:tcPr>
          <w:p w14:paraId="227D1DBB" w14:textId="77777777" w:rsidR="00F50FB7" w:rsidRDefault="00000000">
            <w:pPr>
              <w:autoSpaceDE w:val="0"/>
              <w:adjustRightInd w:val="0"/>
              <w:snapToGrid w:val="0"/>
              <w:spacing w:before="100" w:beforeAutospacing="1" w:after="200" w:line="400" w:lineRule="exact"/>
              <w:jc w:val="center"/>
              <w:rPr>
                <w:rFonts w:ascii="仿宋_GB2312" w:eastAsia="仿宋_GB2312" w:hAnsi="Tahoma"/>
                <w:sz w:val="32"/>
                <w:szCs w:val="32"/>
              </w:rPr>
            </w:pPr>
            <w:r>
              <w:rPr>
                <w:rFonts w:ascii="仿宋_GB2312" w:eastAsia="仿宋_GB2312" w:hint="eastAsia"/>
                <w:sz w:val="32"/>
                <w:szCs w:val="32"/>
              </w:rPr>
              <w:t>3</w:t>
            </w:r>
          </w:p>
        </w:tc>
        <w:tc>
          <w:tcPr>
            <w:tcW w:w="2024" w:type="dxa"/>
            <w:tcBorders>
              <w:top w:val="single" w:sz="6" w:space="0" w:color="auto"/>
              <w:left w:val="single" w:sz="6" w:space="0" w:color="auto"/>
              <w:bottom w:val="single" w:sz="6" w:space="0" w:color="auto"/>
              <w:right w:val="single" w:sz="4" w:space="0" w:color="auto"/>
            </w:tcBorders>
            <w:noWrap/>
            <w:vAlign w:val="center"/>
          </w:tcPr>
          <w:p w14:paraId="2731C59B" w14:textId="77777777" w:rsidR="00F50FB7" w:rsidRDefault="00000000">
            <w:pPr>
              <w:autoSpaceDE w:val="0"/>
              <w:adjustRightInd w:val="0"/>
              <w:snapToGrid w:val="0"/>
              <w:spacing w:before="100" w:beforeAutospacing="1" w:after="200" w:line="400" w:lineRule="exact"/>
              <w:ind w:firstLineChars="100" w:firstLine="320"/>
              <w:jc w:val="center"/>
              <w:rPr>
                <w:rFonts w:ascii="仿宋_GB2312" w:eastAsia="仿宋_GB2312" w:hAnsi="Tahoma"/>
                <w:sz w:val="32"/>
                <w:szCs w:val="32"/>
              </w:rPr>
            </w:pPr>
            <w:r>
              <w:rPr>
                <w:rFonts w:ascii="仿宋_GB2312" w:eastAsia="仿宋_GB2312" w:hint="eastAsia"/>
                <w:sz w:val="32"/>
                <w:szCs w:val="32"/>
              </w:rPr>
              <w:t>5人</w:t>
            </w:r>
          </w:p>
        </w:tc>
      </w:tr>
      <w:tr w:rsidR="00F50FB7" w14:paraId="56531632" w14:textId="77777777">
        <w:trPr>
          <w:trHeight w:val="225"/>
          <w:jc w:val="center"/>
        </w:trPr>
        <w:tc>
          <w:tcPr>
            <w:tcW w:w="1695" w:type="dxa"/>
            <w:tcBorders>
              <w:top w:val="single" w:sz="6" w:space="0" w:color="auto"/>
              <w:left w:val="single" w:sz="4" w:space="0" w:color="auto"/>
              <w:bottom w:val="single" w:sz="12" w:space="0" w:color="auto"/>
              <w:right w:val="single" w:sz="4" w:space="0" w:color="auto"/>
            </w:tcBorders>
            <w:vAlign w:val="center"/>
          </w:tcPr>
          <w:p w14:paraId="4D360733" w14:textId="77777777" w:rsidR="00F50FB7" w:rsidRDefault="00000000">
            <w:pPr>
              <w:autoSpaceDE w:val="0"/>
              <w:adjustRightInd w:val="0"/>
              <w:snapToGrid w:val="0"/>
              <w:spacing w:before="100" w:beforeAutospacing="1" w:after="200" w:line="400" w:lineRule="exact"/>
              <w:jc w:val="center"/>
              <w:rPr>
                <w:rFonts w:ascii="仿宋_GB2312" w:eastAsia="仿宋_GB2312"/>
                <w:sz w:val="32"/>
                <w:szCs w:val="32"/>
              </w:rPr>
            </w:pPr>
            <w:r>
              <w:rPr>
                <w:rFonts w:ascii="仿宋_GB2312" w:eastAsia="仿宋_GB2312" w:hint="eastAsia"/>
                <w:sz w:val="32"/>
                <w:szCs w:val="32"/>
              </w:rPr>
              <w:t>网络营销与直播电商</w:t>
            </w:r>
          </w:p>
        </w:tc>
        <w:tc>
          <w:tcPr>
            <w:tcW w:w="1055" w:type="dxa"/>
            <w:tcBorders>
              <w:top w:val="single" w:sz="6" w:space="0" w:color="auto"/>
              <w:left w:val="single" w:sz="6" w:space="0" w:color="auto"/>
              <w:bottom w:val="single" w:sz="12" w:space="0" w:color="auto"/>
              <w:right w:val="single" w:sz="6" w:space="0" w:color="auto"/>
            </w:tcBorders>
            <w:noWrap/>
            <w:vAlign w:val="center"/>
          </w:tcPr>
          <w:p w14:paraId="4738D047" w14:textId="77777777" w:rsidR="00F50FB7" w:rsidRDefault="00000000">
            <w:pPr>
              <w:autoSpaceDE w:val="0"/>
              <w:adjustRightInd w:val="0"/>
              <w:snapToGrid w:val="0"/>
              <w:spacing w:before="100" w:beforeAutospacing="1" w:after="200" w:line="400" w:lineRule="exact"/>
              <w:jc w:val="center"/>
              <w:rPr>
                <w:rFonts w:ascii="仿宋_GB2312" w:eastAsia="仿宋_GB2312"/>
                <w:sz w:val="32"/>
                <w:szCs w:val="32"/>
              </w:rPr>
            </w:pPr>
            <w:r>
              <w:rPr>
                <w:rFonts w:ascii="仿宋_GB2312" w:eastAsia="仿宋_GB2312" w:hint="eastAsia"/>
                <w:sz w:val="32"/>
                <w:szCs w:val="32"/>
              </w:rPr>
              <w:t>140</w:t>
            </w:r>
          </w:p>
        </w:tc>
        <w:tc>
          <w:tcPr>
            <w:tcW w:w="1250" w:type="dxa"/>
            <w:tcBorders>
              <w:top w:val="single" w:sz="6" w:space="0" w:color="auto"/>
              <w:left w:val="single" w:sz="6" w:space="0" w:color="auto"/>
              <w:bottom w:val="single" w:sz="12" w:space="0" w:color="auto"/>
              <w:right w:val="single" w:sz="6" w:space="0" w:color="auto"/>
            </w:tcBorders>
            <w:noWrap/>
            <w:vAlign w:val="center"/>
          </w:tcPr>
          <w:p w14:paraId="7BD44479" w14:textId="77777777" w:rsidR="00F50FB7" w:rsidRDefault="00000000">
            <w:pPr>
              <w:autoSpaceDE w:val="0"/>
              <w:adjustRightInd w:val="0"/>
              <w:snapToGrid w:val="0"/>
              <w:spacing w:before="100" w:beforeAutospacing="1" w:after="200" w:line="400" w:lineRule="exact"/>
              <w:jc w:val="center"/>
              <w:rPr>
                <w:rFonts w:ascii="仿宋_GB2312" w:eastAsia="仿宋_GB2312"/>
                <w:sz w:val="32"/>
                <w:szCs w:val="32"/>
              </w:rPr>
            </w:pPr>
            <w:r>
              <w:rPr>
                <w:rFonts w:ascii="仿宋_GB2312" w:eastAsia="仿宋_GB2312" w:hint="eastAsia"/>
                <w:sz w:val="32"/>
                <w:szCs w:val="32"/>
              </w:rPr>
              <w:t>专科</w:t>
            </w:r>
          </w:p>
        </w:tc>
        <w:tc>
          <w:tcPr>
            <w:tcW w:w="1204" w:type="dxa"/>
            <w:tcBorders>
              <w:top w:val="single" w:sz="6" w:space="0" w:color="auto"/>
              <w:left w:val="single" w:sz="6" w:space="0" w:color="auto"/>
              <w:bottom w:val="single" w:sz="12" w:space="0" w:color="auto"/>
              <w:right w:val="single" w:sz="6" w:space="0" w:color="auto"/>
            </w:tcBorders>
            <w:noWrap/>
            <w:vAlign w:val="center"/>
          </w:tcPr>
          <w:p w14:paraId="7A00DA4A" w14:textId="77777777" w:rsidR="00F50FB7" w:rsidRDefault="00000000">
            <w:pPr>
              <w:autoSpaceDE w:val="0"/>
              <w:adjustRightInd w:val="0"/>
              <w:snapToGrid w:val="0"/>
              <w:spacing w:before="100" w:beforeAutospacing="1" w:after="200" w:line="400" w:lineRule="exact"/>
              <w:jc w:val="center"/>
              <w:rPr>
                <w:rFonts w:ascii="仿宋_GB2312" w:eastAsia="仿宋_GB2312"/>
                <w:sz w:val="32"/>
                <w:szCs w:val="32"/>
              </w:rPr>
            </w:pPr>
            <w:r>
              <w:rPr>
                <w:rFonts w:ascii="仿宋_GB2312" w:eastAsia="仿宋_GB2312" w:hint="eastAsia"/>
                <w:sz w:val="32"/>
                <w:szCs w:val="32"/>
              </w:rPr>
              <w:t>3</w:t>
            </w:r>
          </w:p>
        </w:tc>
        <w:tc>
          <w:tcPr>
            <w:tcW w:w="2024" w:type="dxa"/>
            <w:tcBorders>
              <w:top w:val="single" w:sz="6" w:space="0" w:color="auto"/>
              <w:left w:val="single" w:sz="6" w:space="0" w:color="auto"/>
              <w:bottom w:val="single" w:sz="12" w:space="0" w:color="auto"/>
              <w:right w:val="single" w:sz="4" w:space="0" w:color="auto"/>
            </w:tcBorders>
            <w:noWrap/>
            <w:vAlign w:val="center"/>
          </w:tcPr>
          <w:p w14:paraId="125025D4" w14:textId="77777777" w:rsidR="00F50FB7" w:rsidRDefault="00000000">
            <w:pPr>
              <w:autoSpaceDE w:val="0"/>
              <w:adjustRightInd w:val="0"/>
              <w:snapToGrid w:val="0"/>
              <w:spacing w:before="100" w:beforeAutospacing="1" w:after="200" w:line="400" w:lineRule="exact"/>
              <w:ind w:firstLineChars="100" w:firstLine="320"/>
              <w:jc w:val="center"/>
              <w:rPr>
                <w:rFonts w:ascii="仿宋_GB2312" w:eastAsia="仿宋_GB2312"/>
                <w:sz w:val="32"/>
                <w:szCs w:val="32"/>
              </w:rPr>
            </w:pPr>
            <w:r>
              <w:rPr>
                <w:rFonts w:ascii="仿宋_GB2312" w:eastAsia="仿宋_GB2312" w:hint="eastAsia"/>
                <w:sz w:val="32"/>
                <w:szCs w:val="32"/>
              </w:rPr>
              <w:t>14人</w:t>
            </w:r>
          </w:p>
        </w:tc>
      </w:tr>
    </w:tbl>
    <w:p w14:paraId="163223AD" w14:textId="77777777" w:rsidR="00F50FB7" w:rsidRDefault="00000000">
      <w:pPr>
        <w:rPr>
          <w:rFonts w:ascii="黑体" w:eastAsia="黑体" w:hAnsi="黑体" w:hint="eastAsia"/>
          <w:sz w:val="32"/>
          <w:szCs w:val="32"/>
        </w:rPr>
      </w:pPr>
      <w:r>
        <w:rPr>
          <w:rFonts w:ascii="仿宋_GB2312" w:eastAsia="仿宋_GB2312" w:hint="eastAsia"/>
          <w:sz w:val="32"/>
          <w:szCs w:val="32"/>
        </w:rPr>
        <w:t xml:space="preserve">    </w:t>
      </w:r>
      <w:r>
        <w:rPr>
          <w:rFonts w:ascii="黑体" w:eastAsia="黑体" w:hAnsi="黑体" w:hint="eastAsia"/>
          <w:sz w:val="32"/>
          <w:szCs w:val="32"/>
        </w:rPr>
        <w:t>第三条 资格条件</w:t>
      </w:r>
    </w:p>
    <w:p w14:paraId="2193212A"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申请转专业的学生应符合以下条件：</w:t>
      </w:r>
    </w:p>
    <w:p w14:paraId="53DADA19"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申请转专业的学生须符合《山东财经大学东方学院普通本专科学生转专业管理办法（试行）》（鲁财大东方教字〔2023〕</w:t>
      </w:r>
      <w:r>
        <w:rPr>
          <w:rFonts w:ascii="仿宋_GB2312" w:eastAsia="仿宋_GB2312" w:hint="eastAsia"/>
          <w:sz w:val="32"/>
          <w:szCs w:val="32"/>
        </w:rPr>
        <w:lastRenderedPageBreak/>
        <w:t>30号）第二章规定的资格条件。</w:t>
      </w:r>
    </w:p>
    <w:p w14:paraId="5B5C31BF" w14:textId="77777777" w:rsidR="00F50FB7" w:rsidRDefault="00000000">
      <w:pPr>
        <w:ind w:firstLineChars="200" w:firstLine="640"/>
        <w:rPr>
          <w:rFonts w:ascii="黑体" w:eastAsia="黑体" w:hAnsi="黑体" w:hint="eastAsia"/>
          <w:sz w:val="32"/>
          <w:szCs w:val="32"/>
        </w:rPr>
      </w:pPr>
      <w:r>
        <w:rPr>
          <w:rFonts w:ascii="黑体" w:eastAsia="黑体" w:hAnsi="黑体" w:hint="eastAsia"/>
          <w:sz w:val="32"/>
          <w:szCs w:val="32"/>
        </w:rPr>
        <w:t>第四条 转专业流程</w:t>
      </w:r>
    </w:p>
    <w:p w14:paraId="20E82FDA"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（一）学生报名</w:t>
      </w:r>
    </w:p>
    <w:p w14:paraId="2F3E1F15" w14:textId="7A70EB3C" w:rsidR="00F50FB7" w:rsidRDefault="00000000">
      <w:pPr>
        <w:ind w:firstLineChars="200" w:firstLine="640"/>
        <w:rPr>
          <w:rFonts w:ascii="仿宋_GB2312" w:eastAsia="仿宋_GB2312"/>
          <w:sz w:val="32"/>
          <w:szCs w:val="32"/>
        </w:rPr>
      </w:pPr>
      <w:r>
        <w:rPr>
          <w:rFonts w:ascii="仿宋_GB2312" w:eastAsia="仿宋_GB2312" w:hint="eastAsia"/>
          <w:sz w:val="32"/>
          <w:szCs w:val="32"/>
        </w:rPr>
        <w:t>符合转专业资格条件的学生于2025年3月27日至4月3日登录学校教务管理系统进行网上报名，填报志愿，并系统提交相关电子材料及纸质材料</w:t>
      </w:r>
      <w:proofErr w:type="gramStart"/>
      <w:r>
        <w:rPr>
          <w:rFonts w:ascii="仿宋_GB2312" w:eastAsia="仿宋_GB2312" w:hint="eastAsia"/>
          <w:sz w:val="32"/>
          <w:szCs w:val="32"/>
        </w:rPr>
        <w:t>交学生</w:t>
      </w:r>
      <w:proofErr w:type="gramEnd"/>
      <w:r>
        <w:rPr>
          <w:rFonts w:ascii="仿宋_GB2312" w:eastAsia="仿宋_GB2312" w:hint="eastAsia"/>
          <w:sz w:val="32"/>
          <w:szCs w:val="32"/>
        </w:rPr>
        <w:t>所在学院审批。具体材料包括：“山东财经大学东方学院转专业申请表”、“第一学期所有课程期末考试成绩单”（</w:t>
      </w:r>
      <w:r w:rsidR="00B62B8B">
        <w:rPr>
          <w:rFonts w:ascii="仿宋_GB2312" w:eastAsia="仿宋_GB2312" w:hint="eastAsia"/>
          <w:sz w:val="32"/>
          <w:szCs w:val="32"/>
        </w:rPr>
        <w:t>教务科研处</w:t>
      </w:r>
      <w:r>
        <w:rPr>
          <w:rFonts w:ascii="仿宋_GB2312" w:eastAsia="仿宋_GB2312" w:hint="eastAsia"/>
          <w:sz w:val="32"/>
          <w:szCs w:val="32"/>
        </w:rPr>
        <w:t>盖章有效）。</w:t>
      </w:r>
    </w:p>
    <w:p w14:paraId="5FEA138B" w14:textId="079B60B8" w:rsidR="00F50FB7" w:rsidRDefault="00000000">
      <w:pPr>
        <w:ind w:firstLineChars="200" w:firstLine="640"/>
        <w:rPr>
          <w:rFonts w:ascii="仿宋_GB2312" w:eastAsia="仿宋_GB2312"/>
          <w:sz w:val="32"/>
          <w:szCs w:val="32"/>
        </w:rPr>
      </w:pPr>
      <w:r>
        <w:rPr>
          <w:rFonts w:ascii="仿宋_GB2312" w:eastAsia="仿宋_GB2312" w:hint="eastAsia"/>
          <w:sz w:val="32"/>
          <w:szCs w:val="32"/>
        </w:rPr>
        <w:t>所在学院审核完毕后，于2024年4月10日至4月12日对批准转出学生名单进行公示，公示无异议后将名单及材料报</w:t>
      </w:r>
      <w:r w:rsidR="00B62B8B">
        <w:rPr>
          <w:rFonts w:ascii="仿宋_GB2312" w:eastAsia="仿宋_GB2312" w:hint="eastAsia"/>
          <w:sz w:val="32"/>
          <w:szCs w:val="32"/>
        </w:rPr>
        <w:t>教务科研处</w:t>
      </w:r>
      <w:r>
        <w:rPr>
          <w:rFonts w:ascii="仿宋_GB2312" w:eastAsia="仿宋_GB2312" w:hint="eastAsia"/>
          <w:sz w:val="32"/>
          <w:szCs w:val="32"/>
        </w:rPr>
        <w:t>，并在教务管理系统中对学生申请进行审核。</w:t>
      </w:r>
    </w:p>
    <w:p w14:paraId="2341DD9C"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学生可通过教务系统查询审批状态，同时及时关注我院网站选拔通知安排，申请转入我院的学生请提前在学院网站了解拟转入专业的人才培养方案。</w:t>
      </w:r>
    </w:p>
    <w:p w14:paraId="7582B049"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（二）学院选拔</w:t>
      </w:r>
    </w:p>
    <w:p w14:paraId="64B468FA"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学院选拔时间为2024年4月14日至4月25日，面试时间、地点及要求将另行通知，请随时关注学院官网（https://www.sdor.cn/u5de5/）。学院转专业工作组负责组织选拔工作，根据学生转专业报名基本情况、第一学期所有课程期末考试成绩及面试情况，确定拟录取名单。</w:t>
      </w:r>
    </w:p>
    <w:p w14:paraId="32C5C7A6"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1. 按照“志愿优先，成绩排序”原则进行选拔。若被录取的学生有自愿放弃转专业的，则按转专业成绩排序由高</w:t>
      </w:r>
      <w:r>
        <w:rPr>
          <w:rFonts w:ascii="仿宋_GB2312" w:eastAsia="仿宋_GB2312" w:hint="eastAsia"/>
          <w:sz w:val="32"/>
          <w:szCs w:val="32"/>
        </w:rPr>
        <w:lastRenderedPageBreak/>
        <w:t>到低依次递补，录满名额为止。在转专业成绩相同的情况下， 以微积分（本科）、或经济数学基础（专科）课程成绩高低排序。</w:t>
      </w:r>
    </w:p>
    <w:p w14:paraId="0569426B"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2. 学院转专业工作组负责对申请转专业的学生资格进行审查，并对符合申请资格的学生进行面试选拔，面试总成绩100分，包括思想品质、学业规划、专业认识、专业潜力、语言沟通、综合素质等方面。</w:t>
      </w:r>
    </w:p>
    <w:p w14:paraId="25B7363E"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3. 最终转专业成绩由第一学期所有课程期末考试平均成绩和面试成绩组成。其中，第一学期所有课程平均成绩占50%、面试成绩占50%。</w:t>
      </w:r>
    </w:p>
    <w:p w14:paraId="383276F6"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（三）确定录取名单</w:t>
      </w:r>
    </w:p>
    <w:p w14:paraId="6667530B" w14:textId="78DCEA24" w:rsidR="00F50FB7" w:rsidRDefault="00000000">
      <w:pPr>
        <w:ind w:firstLineChars="200" w:firstLine="640"/>
        <w:rPr>
          <w:rFonts w:ascii="仿宋_GB2312" w:eastAsia="仿宋_GB2312"/>
          <w:sz w:val="32"/>
          <w:szCs w:val="32"/>
        </w:rPr>
      </w:pPr>
      <w:r>
        <w:rPr>
          <w:rFonts w:ascii="仿宋_GB2312" w:eastAsia="仿宋_GB2312" w:hint="eastAsia"/>
          <w:sz w:val="32"/>
          <w:szCs w:val="32"/>
        </w:rPr>
        <w:t>学院在确定考核结果和各专业拟接收学生名单后，于2024年4月27日至4月29日在学院网站（https://www.sdor.cn/u5de5/）进行公示，公示无异议后将名单及材料上报</w:t>
      </w:r>
      <w:r w:rsidR="00B62B8B">
        <w:rPr>
          <w:rFonts w:ascii="仿宋_GB2312" w:eastAsia="仿宋_GB2312" w:hint="eastAsia"/>
          <w:sz w:val="32"/>
          <w:szCs w:val="32"/>
        </w:rPr>
        <w:t>教务科研处</w:t>
      </w:r>
      <w:r>
        <w:rPr>
          <w:rFonts w:ascii="仿宋_GB2312" w:eastAsia="仿宋_GB2312" w:hint="eastAsia"/>
          <w:sz w:val="32"/>
          <w:szCs w:val="32"/>
        </w:rPr>
        <w:t>审核，经学校审批后，办理转专业学籍异动，编入相应班</w:t>
      </w:r>
      <w:r w:rsidRPr="00AD36A9">
        <w:rPr>
          <w:rFonts w:ascii="仿宋_GB2312" w:eastAsia="仿宋_GB2312" w:hint="eastAsia"/>
          <w:color w:val="000000" w:themeColor="text1"/>
          <w:sz w:val="32"/>
          <w:szCs w:val="32"/>
        </w:rPr>
        <w:t>级</w:t>
      </w:r>
      <w:r w:rsidR="00B62B8B" w:rsidRPr="00AD36A9">
        <w:rPr>
          <w:rFonts w:ascii="仿宋_GB2312" w:eastAsia="仿宋_GB2312" w:hint="eastAsia"/>
          <w:color w:val="000000" w:themeColor="text1"/>
          <w:sz w:val="32"/>
          <w:szCs w:val="32"/>
        </w:rPr>
        <w:t>，于下学期初到新专业</w:t>
      </w:r>
      <w:r w:rsidRPr="00AD36A9">
        <w:rPr>
          <w:rFonts w:ascii="仿宋_GB2312" w:eastAsia="仿宋_GB2312" w:hint="eastAsia"/>
          <w:color w:val="000000" w:themeColor="text1"/>
          <w:sz w:val="32"/>
          <w:szCs w:val="32"/>
        </w:rPr>
        <w:t>就读。</w:t>
      </w:r>
    </w:p>
    <w:p w14:paraId="7230F09F" w14:textId="77777777" w:rsidR="00F50FB7" w:rsidRDefault="00000000">
      <w:pPr>
        <w:ind w:firstLineChars="200" w:firstLine="640"/>
        <w:rPr>
          <w:rFonts w:ascii="黑体" w:eastAsia="黑体" w:hAnsi="黑体" w:hint="eastAsia"/>
          <w:sz w:val="32"/>
          <w:szCs w:val="32"/>
        </w:rPr>
      </w:pPr>
      <w:r>
        <w:rPr>
          <w:rFonts w:ascii="黑体" w:eastAsia="黑体" w:hAnsi="黑体" w:hint="eastAsia"/>
          <w:sz w:val="32"/>
          <w:szCs w:val="32"/>
        </w:rPr>
        <w:t>第五条 附则</w:t>
      </w:r>
    </w:p>
    <w:p w14:paraId="28A371E3"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本方案由工商管理学院转专业工作组办公室负责解释。未尽事宜，遵照《山东财经大学东方学院普通本专科学生转专业管理办法（试行）》（鲁财大东方教字〔2023〕30号）及相关文件办理。</w:t>
      </w:r>
    </w:p>
    <w:p w14:paraId="30973196"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t>联系方式：0538-5397856</w:t>
      </w:r>
    </w:p>
    <w:p w14:paraId="3099C46D" w14:textId="77777777" w:rsidR="00F50FB7" w:rsidRDefault="00000000">
      <w:pPr>
        <w:ind w:firstLineChars="200" w:firstLine="640"/>
        <w:rPr>
          <w:rFonts w:ascii="仿宋_GB2312" w:eastAsia="仿宋_GB2312"/>
          <w:sz w:val="32"/>
          <w:szCs w:val="32"/>
        </w:rPr>
      </w:pPr>
      <w:r>
        <w:rPr>
          <w:rFonts w:ascii="仿宋_GB2312" w:eastAsia="仿宋_GB2312" w:hint="eastAsia"/>
          <w:sz w:val="32"/>
          <w:szCs w:val="32"/>
        </w:rPr>
        <w:lastRenderedPageBreak/>
        <w:t xml:space="preserve">联系人：毕老师                                                                                                </w:t>
      </w:r>
    </w:p>
    <w:p w14:paraId="2B23A7FB" w14:textId="77777777" w:rsidR="00F50FB7" w:rsidRDefault="00000000">
      <w:pPr>
        <w:ind w:firstLineChars="200" w:firstLine="640"/>
        <w:jc w:val="right"/>
        <w:rPr>
          <w:rFonts w:ascii="仿宋_GB2312" w:eastAsia="仿宋_GB2312"/>
          <w:sz w:val="32"/>
          <w:szCs w:val="32"/>
        </w:rPr>
      </w:pPr>
      <w:r>
        <w:rPr>
          <w:rFonts w:ascii="仿宋_GB2312" w:eastAsia="仿宋_GB2312" w:hint="eastAsia"/>
          <w:sz w:val="32"/>
          <w:szCs w:val="32"/>
        </w:rPr>
        <w:t>工商管理学院</w:t>
      </w:r>
    </w:p>
    <w:p w14:paraId="262AE29D" w14:textId="77777777" w:rsidR="00F50FB7" w:rsidRDefault="00000000">
      <w:pPr>
        <w:ind w:firstLineChars="200" w:firstLine="640"/>
        <w:jc w:val="right"/>
        <w:rPr>
          <w:rFonts w:ascii="仿宋_GB2312" w:eastAsia="仿宋_GB2312"/>
          <w:sz w:val="32"/>
          <w:szCs w:val="32"/>
        </w:rPr>
      </w:pPr>
      <w:r>
        <w:rPr>
          <w:rFonts w:ascii="仿宋_GB2312" w:eastAsia="仿宋_GB2312" w:hint="eastAsia"/>
          <w:sz w:val="32"/>
          <w:szCs w:val="32"/>
        </w:rPr>
        <w:t>2025年3月17日</w:t>
      </w:r>
    </w:p>
    <w:sectPr w:rsidR="00F50FB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F4F94" w14:textId="77777777" w:rsidR="00DC0297" w:rsidRDefault="00DC0297" w:rsidP="00B62B8B">
      <w:r>
        <w:separator/>
      </w:r>
    </w:p>
  </w:endnote>
  <w:endnote w:type="continuationSeparator" w:id="0">
    <w:p w14:paraId="0D8A1E8F" w14:textId="77777777" w:rsidR="00DC0297" w:rsidRDefault="00DC0297" w:rsidP="00B6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23359" w14:textId="77777777" w:rsidR="00DC0297" w:rsidRDefault="00DC0297" w:rsidP="00B62B8B">
      <w:r>
        <w:separator/>
      </w:r>
    </w:p>
  </w:footnote>
  <w:footnote w:type="continuationSeparator" w:id="0">
    <w:p w14:paraId="1FE1E4E6" w14:textId="77777777" w:rsidR="00DC0297" w:rsidRDefault="00DC0297" w:rsidP="00B62B8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WVlMTNiMzY0ZGQ1ZmUyYzQ5ZGFjNzQ2NjU3ZDc3ODEifQ=="/>
  </w:docVars>
  <w:rsids>
    <w:rsidRoot w:val="00DC1A11"/>
    <w:rsid w:val="000E0633"/>
    <w:rsid w:val="00273808"/>
    <w:rsid w:val="0030168D"/>
    <w:rsid w:val="003854DD"/>
    <w:rsid w:val="00403F1F"/>
    <w:rsid w:val="00676B1E"/>
    <w:rsid w:val="00795C9C"/>
    <w:rsid w:val="008D554B"/>
    <w:rsid w:val="00AD36A9"/>
    <w:rsid w:val="00B62B8B"/>
    <w:rsid w:val="00B84336"/>
    <w:rsid w:val="00C01A54"/>
    <w:rsid w:val="00D4528D"/>
    <w:rsid w:val="00DC0297"/>
    <w:rsid w:val="00DC1A11"/>
    <w:rsid w:val="00E176CA"/>
    <w:rsid w:val="00E5063E"/>
    <w:rsid w:val="00F50FB7"/>
    <w:rsid w:val="00F71C9E"/>
    <w:rsid w:val="08EC2D93"/>
    <w:rsid w:val="47CB16A4"/>
    <w:rsid w:val="69714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1A5D10"/>
  <w15:docId w15:val="{34A19073-EC9A-4A45-A8FC-E096ECA23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62B8B"/>
    <w:pPr>
      <w:tabs>
        <w:tab w:val="center" w:pos="4153"/>
        <w:tab w:val="right" w:pos="8306"/>
      </w:tabs>
      <w:snapToGrid w:val="0"/>
      <w:jc w:val="center"/>
    </w:pPr>
    <w:rPr>
      <w:sz w:val="18"/>
      <w:szCs w:val="18"/>
    </w:rPr>
  </w:style>
  <w:style w:type="character" w:customStyle="1" w:styleId="a4">
    <w:name w:val="页眉 字符"/>
    <w:basedOn w:val="a0"/>
    <w:link w:val="a3"/>
    <w:uiPriority w:val="99"/>
    <w:rsid w:val="00B62B8B"/>
    <w:rPr>
      <w:kern w:val="2"/>
      <w:sz w:val="18"/>
      <w:szCs w:val="18"/>
    </w:rPr>
  </w:style>
  <w:style w:type="paragraph" w:styleId="a5">
    <w:name w:val="footer"/>
    <w:basedOn w:val="a"/>
    <w:link w:val="a6"/>
    <w:uiPriority w:val="99"/>
    <w:unhideWhenUsed/>
    <w:rsid w:val="00B62B8B"/>
    <w:pPr>
      <w:tabs>
        <w:tab w:val="center" w:pos="4153"/>
        <w:tab w:val="right" w:pos="8306"/>
      </w:tabs>
      <w:snapToGrid w:val="0"/>
      <w:jc w:val="left"/>
    </w:pPr>
    <w:rPr>
      <w:sz w:val="18"/>
      <w:szCs w:val="18"/>
    </w:rPr>
  </w:style>
  <w:style w:type="character" w:customStyle="1" w:styleId="a6">
    <w:name w:val="页脚 字符"/>
    <w:basedOn w:val="a0"/>
    <w:link w:val="a5"/>
    <w:uiPriority w:val="99"/>
    <w:rsid w:val="00B62B8B"/>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4</Pages>
  <Words>221</Words>
  <Characters>1261</Characters>
  <Application>Microsoft Office Word</Application>
  <DocSecurity>0</DocSecurity>
  <Lines>10</Lines>
  <Paragraphs>2</Paragraphs>
  <ScaleCrop>false</ScaleCrop>
  <Company>MS</Company>
  <LinksUpToDate>false</LinksUpToDate>
  <CharactersWithSpaces>1480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宗雯雯</cp:lastModifiedBy>
  <cp:revision>5</cp:revision>
  <dcterms:created xsi:type="dcterms:W3CDTF">2024-03-25T06:33:00Z</dcterms:created>
  <dcterms:modified xsi:type="dcterms:W3CDTF">2025-03-24T01:39:00Z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0D12F68AF7674340808A0AA68EA238D2_12</vt:lpwstr>
  </property>
  <property fmtid="{D5CDD505-2E9C-101B-9397-08002B2CF9AE}" pid="4" name="KSOTemplateDocerSaveRecord">
    <vt:lpwstr>eyJoZGlkIjoiOWVlMTNiMzY0ZGQ1ZmUyYzQ5ZGFjNzQ2NjU3ZDc3ODEifQ==</vt:lpwstr>
  </property>
</Properties>
</file>